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2024-09-10</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 under Tier 1.</w:t>
      </w:r>
    </w:p>
    <w:p>
      <w:pPr>
        <w:pStyle w:val="BodyText"/>
      </w:pPr>
      <w:r>
        <w:t xml:space="preserve">Incorporating the natural mortality at 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recent recruitment.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the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52032a09f68bf439622704707d1342817ba75b6"/>
    <w:p>
      <w:pPr>
        <w:pStyle w:val="Heading1"/>
      </w:pPr>
      <w:r>
        <w:t xml:space="preserve">Incorporating natural mortality age arising from CEATTLE</w:t>
      </w:r>
    </w:p>
    <w:p>
      <w:pPr>
        <w:pStyle w:val="FirstParagraph"/>
      </w:pPr>
      <w:r>
        <w:t xml:space="preserve">In past assessments we have mentioned that a commonly adopted approach for stocks that are</w:t>
      </w:r>
      <w:r>
        <w:t xml:space="preserve"> </w:t>
      </w:r>
      <w:r>
        <w:t xml:space="preserve">also included in multispecies trophic interaction models (</w:t>
      </w:r>
      <w:r>
        <w:t xml:space="preserve">Trijoulet, Fay, and Miller (2020)</w:t>
      </w:r>
      <w:r>
        <w:t xml:space="preserve">) it is considered</w:t>
      </w:r>
      <w:r>
        <w:t xml:space="preserve"> </w:t>
      </w:r>
      <w:r>
        <w:t xml:space="preserve">best practice to include the estimates of natural mortality-at-age over time within the</w:t>
      </w:r>
      <w:r>
        <w:t xml:space="preserve"> </w:t>
      </w:r>
      <w:r>
        <w:t xml:space="preserve">assessment model. 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slightly higher recruitment but lower</w:t>
      </w:r>
      <w:r>
        <w:t xml:space="preserve"> </w:t>
      </w:r>
      <w:r>
        <w:t xml:space="preserve">spawning biomass in the near term (</w:t>
      </w:r>
      <w:hyperlink w:anchor="fig-Mmatrix">
        <w:r>
          <w:rPr>
            <w:rStyle w:val="Hyperlink"/>
          </w:rPr>
          <w:t xml:space="preserve">Figure 21</w:t>
        </w:r>
      </w:hyperlink>
      <w:r>
        <w:t xml:space="preserve">). This is due to the higher natural</w:t>
      </w:r>
      <w:r>
        <w:t xml:space="preserve"> </w:t>
      </w:r>
      <w:r>
        <w:t xml:space="preserve">mortality for most ages and years compared 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w:t>
      </w:r>
      <w:r>
        <w:br/>
      </w:r>
      <w:r>
        <w:t xml:space="preserve">As an experiment, we conditioned the SRR curve to have the MSY value set to 1.75 and 1.3</w:t>
      </w:r>
      <w:r>
        <w:t xml:space="preserve"> </w:t>
      </w:r>
      <w:r>
        <w:t xml:space="preserve">million t. We then compared 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spawning biomass projections (SSB.projected) compared to the actual catch (as a function of historical ABCs and TACs). A single value for responsiveness was used (</w:t>
            </w:r>
            <w:r>
              <w:t xml:space="preserve"> </w:t>
            </w:r>
            <m:oMath>
              <m:r>
                <m:rPr>
                  <m:sty m:val="p"/>
                </m:rPr>
                <m:t>/</m:t>
              </m:r>
              <m:r>
                <m:t>l</m:t>
              </m:r>
              <m:r>
                <m:t>a</m:t>
              </m:r>
              <m:r>
                <m:t>m</m:t>
              </m:r>
              <m:r>
                <m:t>b</m:t>
              </m:r>
              <m:r>
                <m:t>d</m:t>
              </m:r>
              <m:r>
                <m:t>a</m:t>
              </m:r>
              <m:r>
                <m:rPr>
                  <m:sty m:val="p"/>
                </m:rPr>
                <m:t>=</m:t>
              </m:r>
              <m:r>
                <m:t>0.5</m:t>
              </m:r>
            </m:oMath>
            <w:r>
              <w:t xml:space="preserve"> </w:t>
            </w:r>
            <w:r>
              <w:t xml:space="preserve">).</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r>
          <m:rPr>
            <m:sty m:val="p"/>
          </m:rPr>
          <m:t>̂</m:t>
        </m:r>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Investigations on how to produce</w:t>
      </w:r>
      <w:r>
        <w:t xml:space="preserve"> </w:t>
      </w:r>
      <w:r>
        <w:t xml:space="preserve">standard figures we highlight those as follows.</w:t>
      </w:r>
    </w:p>
    <w:p>
      <w:pPr>
        <w:pStyle w:val="BodyText"/>
      </w:pPr>
      <w:r>
        <w:t xml:space="preserve">Process error variances can be estimated jointly with random effects and other parameters</w:t>
      </w:r>
      <w:r>
        <w:t xml:space="preserve"> </w:t>
      </w:r>
      <w:r>
        <w:t xml:space="preserve">when desired, and should be for important model components.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Next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the predictive samples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includes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the relationship of the slowest mixing parameters. The result</w:t>
      </w:r>
      <w:r>
        <w:t xml:space="preserve"> </w:t>
      </w:r>
      <w:r>
        <w:t xml:space="preserve">from sampling showed that for the 1340 parameters, there was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Diagnostic output showing the slow mixing parameters of the 2023 EBS pollock model posterior sampling.</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presentations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parameterizations:</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7" w:name="references"/>
    <w:p>
      <w:pPr>
        <w:pStyle w:val="Heading1"/>
      </w:pPr>
      <w:r>
        <w:t xml:space="preserve">References</w:t>
      </w:r>
    </w:p>
    <w:bookmarkStart w:id="246"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5"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4">
        <w:r>
          <w:rPr>
            <w:rStyle w:val="Hyperlink"/>
          </w:rPr>
          <w:t xml:space="preserve">https://doi.org/10.1093/icesjms/fsae071</w:t>
        </w:r>
      </w:hyperlink>
      <w:r>
        <w:t xml:space="preserve">.</w:t>
      </w:r>
    </w:p>
    <w:bookmarkEnd w:id="235"/>
    <w:bookmarkStart w:id="237"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6">
        <w:r>
          <w:rPr>
            <w:rStyle w:val="Hyperlink"/>
          </w:rPr>
          <w:t xml:space="preserve">https://apps-afsc.fisheries.noaa.gov/Publications/ProcRpt/PR1983-02.pdf</w:t>
        </w:r>
      </w:hyperlink>
      <w:r>
        <w:t xml:space="preserve">.</w:t>
      </w:r>
    </w:p>
    <w:bookmarkEnd w:id="237"/>
    <w:bookmarkStart w:id="239"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8">
        <w:r>
          <w:rPr>
            <w:rStyle w:val="Hyperlink"/>
          </w:rPr>
          <w:t xml:space="preserve">https://doi.org/10.1016/j.fishres.2024.107024</w:t>
        </w:r>
      </w:hyperlink>
      <w:r>
        <w:t xml:space="preserve">.</w:t>
      </w:r>
    </w:p>
    <w:bookmarkEnd w:id="239"/>
    <w:bookmarkStart w:id="241"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0">
        <w:r>
          <w:rPr>
            <w:rStyle w:val="Hyperlink"/>
          </w:rPr>
          <w:t xml:space="preserve">https://doi.org/10.1016/j.fishres.2021.105967</w:t>
        </w:r>
      </w:hyperlink>
      <w:r>
        <w:t xml:space="preserve">.</w:t>
      </w:r>
    </w:p>
    <w:bookmarkEnd w:id="241"/>
    <w:bookmarkStart w:id="243"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2">
        <w:r>
          <w:rPr>
            <w:rStyle w:val="Hyperlink"/>
          </w:rPr>
          <w:t xml:space="preserve">https://doi.org/10.1111/1365-2664.13515</w:t>
        </w:r>
      </w:hyperlink>
      <w:r>
        <w:t xml:space="preserve">.</w:t>
      </w:r>
    </w:p>
    <w:bookmarkEnd w:id="243"/>
    <w:bookmarkStart w:id="245"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4">
        <w:r>
          <w:rPr>
            <w:rStyle w:val="Hyperlink"/>
          </w:rPr>
          <w:t xml:space="preserve">https://doi.org/10.1016/j.ecolmodel.2020.109074</w:t>
        </w:r>
      </w:hyperlink>
      <w:r>
        <w:t xml:space="preserve">.</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2024-09-11T05:50:41Z</dcterms:created>
  <dcterms:modified xsi:type="dcterms:W3CDTF">2024-09-11T05:50:41Z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2024-09-10</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